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01D64" w:rsidRPr="00201D64" w:rsidRDefault="00201D64" w:rsidP="00201D64">
      <w:pPr>
        <w:spacing w:after="0" w:line="240" w:lineRule="auto"/>
        <w:jc w:val="center"/>
        <w:rPr>
          <w:rFonts w:ascii="Times New Roman" w:eastAsia="Times New Roman" w:hAnsi="Times New Roman" w:cs="Times New Roman"/>
          <w:color w:val="242424"/>
          <w:sz w:val="24"/>
          <w:szCs w:val="24"/>
          <w:lang w:eastAsia="ru-RU"/>
        </w:rPr>
      </w:pPr>
      <w:r w:rsidRPr="00201D64">
        <w:rPr>
          <w:rFonts w:ascii="Arial" w:eastAsia="Times New Roman" w:hAnsi="Arial" w:cs="Arial"/>
          <w:b/>
          <w:bCs/>
          <w:color w:val="242424"/>
          <w:sz w:val="24"/>
          <w:szCs w:val="24"/>
          <w:lang w:eastAsia="ru-RU"/>
        </w:rPr>
        <w:t>ПЛЕНУМ ВЕРХОВНОГО СУДА РОССИЙСКОЙ ФЕДЕРАЦИИ</w:t>
      </w:r>
      <w:bookmarkStart w:id="0" w:name="_GoBack"/>
      <w:bookmarkEnd w:id="0"/>
    </w:p>
    <w:p w:rsidR="00201D64" w:rsidRPr="00201D64" w:rsidRDefault="00201D64" w:rsidP="00201D64">
      <w:pPr>
        <w:spacing w:after="0" w:line="240" w:lineRule="auto"/>
        <w:jc w:val="both"/>
        <w:rPr>
          <w:rFonts w:ascii="Times New Roman" w:eastAsia="Times New Roman" w:hAnsi="Times New Roman" w:cs="Times New Roman"/>
          <w:color w:val="242424"/>
          <w:sz w:val="24"/>
          <w:szCs w:val="24"/>
          <w:lang w:eastAsia="ru-RU"/>
        </w:rPr>
      </w:pPr>
      <w:r w:rsidRPr="00201D64">
        <w:rPr>
          <w:rFonts w:ascii="Arial" w:eastAsia="Times New Roman" w:hAnsi="Arial" w:cs="Arial"/>
          <w:color w:val="242424"/>
          <w:sz w:val="24"/>
          <w:szCs w:val="24"/>
          <w:lang w:eastAsia="ru-RU"/>
        </w:rPr>
        <w:t> </w:t>
      </w:r>
    </w:p>
    <w:p w:rsidR="00201D64" w:rsidRPr="00201D64" w:rsidRDefault="00201D64" w:rsidP="00201D64">
      <w:pPr>
        <w:spacing w:after="0" w:line="240" w:lineRule="auto"/>
        <w:jc w:val="center"/>
        <w:rPr>
          <w:rFonts w:ascii="Times New Roman" w:eastAsia="Times New Roman" w:hAnsi="Times New Roman" w:cs="Times New Roman"/>
          <w:color w:val="242424"/>
          <w:sz w:val="24"/>
          <w:szCs w:val="24"/>
          <w:lang w:eastAsia="ru-RU"/>
        </w:rPr>
      </w:pPr>
      <w:r w:rsidRPr="00201D64">
        <w:rPr>
          <w:rFonts w:ascii="Arial" w:eastAsia="Times New Roman" w:hAnsi="Arial" w:cs="Arial"/>
          <w:b/>
          <w:bCs/>
          <w:color w:val="242424"/>
          <w:sz w:val="24"/>
          <w:szCs w:val="24"/>
          <w:lang w:eastAsia="ru-RU"/>
        </w:rPr>
        <w:t>ПОСТАНОВЛЕНИЕ</w:t>
      </w:r>
    </w:p>
    <w:p w:rsidR="00201D64" w:rsidRPr="00201D64" w:rsidRDefault="00201D64" w:rsidP="00201D64">
      <w:pPr>
        <w:spacing w:after="0" w:line="240" w:lineRule="auto"/>
        <w:jc w:val="center"/>
        <w:rPr>
          <w:rFonts w:ascii="Times New Roman" w:eastAsia="Times New Roman" w:hAnsi="Times New Roman" w:cs="Times New Roman"/>
          <w:color w:val="242424"/>
          <w:sz w:val="24"/>
          <w:szCs w:val="24"/>
          <w:lang w:eastAsia="ru-RU"/>
        </w:rPr>
      </w:pPr>
      <w:r w:rsidRPr="00201D64">
        <w:rPr>
          <w:rFonts w:ascii="Arial" w:eastAsia="Times New Roman" w:hAnsi="Arial" w:cs="Arial"/>
          <w:b/>
          <w:bCs/>
          <w:color w:val="242424"/>
          <w:sz w:val="24"/>
          <w:szCs w:val="24"/>
          <w:lang w:eastAsia="ru-RU"/>
        </w:rPr>
        <w:t>от 28 ноября 2017 г. N 46</w:t>
      </w:r>
    </w:p>
    <w:p w:rsidR="00201D64" w:rsidRPr="00201D64" w:rsidRDefault="00201D64" w:rsidP="00201D64">
      <w:pPr>
        <w:spacing w:after="0" w:line="240" w:lineRule="auto"/>
        <w:jc w:val="center"/>
        <w:rPr>
          <w:rFonts w:ascii="Times New Roman" w:eastAsia="Times New Roman" w:hAnsi="Times New Roman" w:cs="Times New Roman"/>
          <w:color w:val="242424"/>
          <w:sz w:val="24"/>
          <w:szCs w:val="24"/>
          <w:lang w:eastAsia="ru-RU"/>
        </w:rPr>
      </w:pPr>
      <w:r w:rsidRPr="00201D64">
        <w:rPr>
          <w:rFonts w:ascii="Arial" w:eastAsia="Times New Roman" w:hAnsi="Arial" w:cs="Arial"/>
          <w:b/>
          <w:bCs/>
          <w:color w:val="242424"/>
          <w:sz w:val="24"/>
          <w:szCs w:val="24"/>
          <w:lang w:eastAsia="ru-RU"/>
        </w:rPr>
        <w:t> </w:t>
      </w:r>
    </w:p>
    <w:p w:rsidR="00201D64" w:rsidRPr="00201D64" w:rsidRDefault="00201D64" w:rsidP="00201D64">
      <w:pPr>
        <w:spacing w:after="0" w:line="240" w:lineRule="auto"/>
        <w:jc w:val="center"/>
        <w:rPr>
          <w:rFonts w:ascii="Times New Roman" w:eastAsia="Times New Roman" w:hAnsi="Times New Roman" w:cs="Times New Roman"/>
          <w:color w:val="242424"/>
          <w:sz w:val="24"/>
          <w:szCs w:val="24"/>
          <w:lang w:eastAsia="ru-RU"/>
        </w:rPr>
      </w:pPr>
      <w:r w:rsidRPr="00201D64">
        <w:rPr>
          <w:rFonts w:ascii="Arial" w:eastAsia="Times New Roman" w:hAnsi="Arial" w:cs="Arial"/>
          <w:b/>
          <w:bCs/>
          <w:color w:val="242424"/>
          <w:sz w:val="24"/>
          <w:szCs w:val="24"/>
          <w:lang w:eastAsia="ru-RU"/>
        </w:rPr>
        <w:t>О НЕКОТОРЫХ ВОПРОСАХ,</w:t>
      </w:r>
    </w:p>
    <w:p w:rsidR="00201D64" w:rsidRPr="00201D64" w:rsidRDefault="00201D64" w:rsidP="00201D64">
      <w:pPr>
        <w:spacing w:after="0" w:line="240" w:lineRule="auto"/>
        <w:jc w:val="center"/>
        <w:rPr>
          <w:rFonts w:ascii="Times New Roman" w:eastAsia="Times New Roman" w:hAnsi="Times New Roman" w:cs="Times New Roman"/>
          <w:color w:val="242424"/>
          <w:sz w:val="24"/>
          <w:szCs w:val="24"/>
          <w:lang w:eastAsia="ru-RU"/>
        </w:rPr>
      </w:pPr>
      <w:r w:rsidRPr="00201D64">
        <w:rPr>
          <w:rFonts w:ascii="Arial" w:eastAsia="Times New Roman" w:hAnsi="Arial" w:cs="Arial"/>
          <w:b/>
          <w:bCs/>
          <w:color w:val="242424"/>
          <w:sz w:val="24"/>
          <w:szCs w:val="24"/>
          <w:lang w:eastAsia="ru-RU"/>
        </w:rPr>
        <w:t>ВОЗНИКАЮЩИХ ПРИ РАССМОТРЕНИИ СУДЬЯМИ ДЕЛ О ПРИВЛЕЧЕНИИ</w:t>
      </w:r>
    </w:p>
    <w:p w:rsidR="00201D64" w:rsidRPr="00201D64" w:rsidRDefault="00201D64" w:rsidP="00201D64">
      <w:pPr>
        <w:spacing w:after="0" w:line="240" w:lineRule="auto"/>
        <w:jc w:val="center"/>
        <w:rPr>
          <w:rFonts w:ascii="Times New Roman" w:eastAsia="Times New Roman" w:hAnsi="Times New Roman" w:cs="Times New Roman"/>
          <w:color w:val="242424"/>
          <w:sz w:val="24"/>
          <w:szCs w:val="24"/>
          <w:lang w:eastAsia="ru-RU"/>
        </w:rPr>
      </w:pPr>
      <w:r w:rsidRPr="00201D64">
        <w:rPr>
          <w:rFonts w:ascii="Arial" w:eastAsia="Times New Roman" w:hAnsi="Arial" w:cs="Arial"/>
          <w:b/>
          <w:bCs/>
          <w:color w:val="242424"/>
          <w:sz w:val="24"/>
          <w:szCs w:val="24"/>
          <w:lang w:eastAsia="ru-RU"/>
        </w:rPr>
        <w:t>К АДМИНИСТРАТИВНОЙ ОТВЕТСТВЕННОСТИ ПО СТАТЬЕ 19.29 КОДЕКСА</w:t>
      </w:r>
    </w:p>
    <w:p w:rsidR="00201D64" w:rsidRPr="00201D64" w:rsidRDefault="00201D64" w:rsidP="00201D64">
      <w:pPr>
        <w:spacing w:after="0" w:line="240" w:lineRule="auto"/>
        <w:jc w:val="center"/>
        <w:rPr>
          <w:rFonts w:ascii="Times New Roman" w:eastAsia="Times New Roman" w:hAnsi="Times New Roman" w:cs="Times New Roman"/>
          <w:color w:val="242424"/>
          <w:sz w:val="24"/>
          <w:szCs w:val="24"/>
          <w:lang w:eastAsia="ru-RU"/>
        </w:rPr>
      </w:pPr>
      <w:r w:rsidRPr="00201D64">
        <w:rPr>
          <w:rFonts w:ascii="Arial" w:eastAsia="Times New Roman" w:hAnsi="Arial" w:cs="Arial"/>
          <w:b/>
          <w:bCs/>
          <w:color w:val="242424"/>
          <w:sz w:val="24"/>
          <w:szCs w:val="24"/>
          <w:lang w:eastAsia="ru-RU"/>
        </w:rPr>
        <w:t>РОССИЙСКОЙ ФЕДЕРАЦИИ ОБ АДМИНИСТРАТИВНЫХ ПРАВОНАРУШЕНИЯХ</w:t>
      </w:r>
    </w:p>
    <w:p w:rsidR="00201D64" w:rsidRPr="00201D64" w:rsidRDefault="00201D64" w:rsidP="00201D64">
      <w:pPr>
        <w:spacing w:after="0" w:line="240" w:lineRule="auto"/>
        <w:jc w:val="center"/>
        <w:rPr>
          <w:rFonts w:ascii="Times New Roman" w:eastAsia="Times New Roman" w:hAnsi="Times New Roman" w:cs="Times New Roman"/>
          <w:color w:val="242424"/>
          <w:sz w:val="24"/>
          <w:szCs w:val="24"/>
          <w:lang w:eastAsia="ru-RU"/>
        </w:rPr>
      </w:pPr>
      <w:r w:rsidRPr="00201D64">
        <w:rPr>
          <w:rFonts w:ascii="Arial" w:eastAsia="Times New Roman" w:hAnsi="Arial" w:cs="Arial"/>
          <w:b/>
          <w:bCs/>
          <w:color w:val="242424"/>
          <w:sz w:val="24"/>
          <w:szCs w:val="24"/>
          <w:lang w:eastAsia="ru-RU"/>
        </w:rPr>
        <w:t> </w:t>
      </w:r>
    </w:p>
    <w:p w:rsidR="00201D64" w:rsidRPr="00201D64" w:rsidRDefault="00201D64" w:rsidP="00201D64">
      <w:pPr>
        <w:spacing w:after="0" w:line="240" w:lineRule="auto"/>
        <w:ind w:firstLine="709"/>
        <w:jc w:val="both"/>
        <w:rPr>
          <w:rFonts w:ascii="Times New Roman" w:eastAsia="Times New Roman" w:hAnsi="Times New Roman" w:cs="Times New Roman"/>
          <w:color w:val="242424"/>
          <w:sz w:val="24"/>
          <w:szCs w:val="24"/>
          <w:lang w:eastAsia="ru-RU"/>
        </w:rPr>
      </w:pPr>
      <w:r w:rsidRPr="00201D64">
        <w:rPr>
          <w:rFonts w:ascii="Arial" w:eastAsia="Times New Roman" w:hAnsi="Arial" w:cs="Arial"/>
          <w:color w:val="242424"/>
          <w:sz w:val="20"/>
          <w:szCs w:val="20"/>
          <w:lang w:eastAsia="ru-RU"/>
        </w:rPr>
        <w:t>В целях обеспечения единства практики применения судьями судов общей юрисдикции положений статьи 19.29 Кодекса Российской Федерации об административных правонарушениях Пленум Верховного Суда Российской Федерации, руководствуясь статьей 126 Конституции Российской Федерации, статьями 2 и 5 Федерального конституционного закона от 5 февраля 2014 года N 3-ФКЗ "О Верховном Суде Российской Федерации", постановляет дать следующие разъяснения:</w:t>
      </w:r>
    </w:p>
    <w:p w:rsidR="00201D64" w:rsidRPr="00201D64" w:rsidRDefault="00201D64" w:rsidP="00201D64">
      <w:pPr>
        <w:spacing w:after="0" w:line="240" w:lineRule="auto"/>
        <w:ind w:firstLine="709"/>
        <w:jc w:val="both"/>
        <w:rPr>
          <w:rFonts w:ascii="Times New Roman" w:eastAsia="Times New Roman" w:hAnsi="Times New Roman" w:cs="Times New Roman"/>
          <w:color w:val="242424"/>
          <w:sz w:val="24"/>
          <w:szCs w:val="24"/>
          <w:lang w:eastAsia="ru-RU"/>
        </w:rPr>
      </w:pPr>
      <w:r w:rsidRPr="00201D64">
        <w:rPr>
          <w:rFonts w:ascii="Arial" w:eastAsia="Times New Roman" w:hAnsi="Arial" w:cs="Arial"/>
          <w:color w:val="242424"/>
          <w:sz w:val="20"/>
          <w:szCs w:val="20"/>
          <w:lang w:eastAsia="ru-RU"/>
        </w:rPr>
        <w:t>1. Статья 19.29 Кодекса Российской Федерации об административных правонарушениях (далее - КоАП РФ) устанавливает административную ответственность работодателя или заказчика работ (услуг) за привлечение к трудовой деятельности либо к выполнению работ или оказанию услуг государственного или муниципального служащего либо бывшего государственного или муниципального служащего с нарушением требований Федерального закона от 25 декабря 2008 года N 273-ФЗ "О противодействии коррупции" (далее - Федеральный закон "О противодействии коррупции").</w:t>
      </w:r>
    </w:p>
    <w:p w:rsidR="00201D64" w:rsidRPr="00201D64" w:rsidRDefault="00201D64" w:rsidP="00201D64">
      <w:pPr>
        <w:spacing w:after="0" w:line="240" w:lineRule="auto"/>
        <w:ind w:firstLine="709"/>
        <w:jc w:val="both"/>
        <w:rPr>
          <w:rFonts w:ascii="Times New Roman" w:eastAsia="Times New Roman" w:hAnsi="Times New Roman" w:cs="Times New Roman"/>
          <w:color w:val="242424"/>
          <w:sz w:val="24"/>
          <w:szCs w:val="24"/>
          <w:lang w:eastAsia="ru-RU"/>
        </w:rPr>
      </w:pPr>
      <w:r w:rsidRPr="00201D64">
        <w:rPr>
          <w:rFonts w:ascii="Arial" w:eastAsia="Times New Roman" w:hAnsi="Arial" w:cs="Arial"/>
          <w:color w:val="242424"/>
          <w:sz w:val="20"/>
          <w:szCs w:val="20"/>
          <w:lang w:eastAsia="ru-RU"/>
        </w:rPr>
        <w:t>Исходя из взаимосвязанных положений частей 4 и 5 статьи 12 Федерального закона "О противодействии коррупции" объективная сторона состава административного правонарушения, предусмотренного статьей 19.29 КоАП РФ, выражается в неисполнении работодателем при привлечении к трудовой деятельности на условиях трудового договора или гражданско-правового договора (гражданско-правовых договоров) на выполнение работ (оказание услуг) в течение месяца стоимостью более ста тысяч рублей гражданина, замещавшего должности государственной (муниципальной) службы, перечень которых установлен нормативными правовыми актами Российской Федерации (далее - бывший государственный (муниципальный) служащий), обязанности сообщать в десятидневный срок о заключении такого договора представителю нанимателя (работодателю) государственного (муниципального) служащего по последнему месту его службы в порядке, устанавливаемом нормативными правовыми актами Российской Федерации, в течение двух лет после его увольнения с государственной (муниципальной) службы.</w:t>
      </w:r>
    </w:p>
    <w:p w:rsidR="00201D64" w:rsidRPr="00201D64" w:rsidRDefault="00201D64" w:rsidP="00201D64">
      <w:pPr>
        <w:spacing w:after="0" w:line="240" w:lineRule="auto"/>
        <w:ind w:firstLine="709"/>
        <w:jc w:val="both"/>
        <w:rPr>
          <w:rFonts w:ascii="Times New Roman" w:eastAsia="Times New Roman" w:hAnsi="Times New Roman" w:cs="Times New Roman"/>
          <w:color w:val="242424"/>
          <w:sz w:val="24"/>
          <w:szCs w:val="24"/>
          <w:lang w:eastAsia="ru-RU"/>
        </w:rPr>
      </w:pPr>
      <w:r w:rsidRPr="00201D64">
        <w:rPr>
          <w:rFonts w:ascii="Arial" w:eastAsia="Times New Roman" w:hAnsi="Arial" w:cs="Arial"/>
          <w:color w:val="242424"/>
          <w:sz w:val="20"/>
          <w:szCs w:val="20"/>
          <w:lang w:eastAsia="ru-RU"/>
        </w:rPr>
        <w:t>Указанное сообщение направляется независимо от того, входили ли в должностные (служебные) обязанности бывшего государственного (муниципального) служащего функции государственного, муниципального (административного) управления организацией, заключившей с ним указанные договоры.</w:t>
      </w:r>
    </w:p>
    <w:p w:rsidR="00201D64" w:rsidRPr="00201D64" w:rsidRDefault="00201D64" w:rsidP="00201D64">
      <w:pPr>
        <w:spacing w:after="0" w:line="240" w:lineRule="auto"/>
        <w:ind w:firstLine="709"/>
        <w:jc w:val="both"/>
        <w:rPr>
          <w:rFonts w:ascii="Times New Roman" w:eastAsia="Times New Roman" w:hAnsi="Times New Roman" w:cs="Times New Roman"/>
          <w:color w:val="242424"/>
          <w:sz w:val="24"/>
          <w:szCs w:val="24"/>
          <w:lang w:eastAsia="ru-RU"/>
        </w:rPr>
      </w:pPr>
      <w:r w:rsidRPr="00201D64">
        <w:rPr>
          <w:rFonts w:ascii="Arial" w:eastAsia="Times New Roman" w:hAnsi="Arial" w:cs="Arial"/>
          <w:color w:val="242424"/>
          <w:sz w:val="20"/>
          <w:szCs w:val="20"/>
          <w:lang w:eastAsia="ru-RU"/>
        </w:rPr>
        <w:t>Ограничения и обязанности, предусмотренные частями 1 и 2 статьи 12 Федерального закона "О противодействии коррупции", налагаются на бывшего государственного (муниципального) служащего, и их несоблюдение не может являться основанием привлечения работодателя (заказчика работ (услуг) бывшего государственного (муниципального) служащего к административной ответственности по статье 19.29 КоАП РФ.</w:t>
      </w:r>
    </w:p>
    <w:p w:rsidR="00201D64" w:rsidRPr="00201D64" w:rsidRDefault="00201D64" w:rsidP="00201D64">
      <w:pPr>
        <w:spacing w:after="0" w:line="240" w:lineRule="auto"/>
        <w:ind w:firstLine="709"/>
        <w:jc w:val="both"/>
        <w:rPr>
          <w:rFonts w:ascii="Times New Roman" w:eastAsia="Times New Roman" w:hAnsi="Times New Roman" w:cs="Times New Roman"/>
          <w:color w:val="242424"/>
          <w:sz w:val="24"/>
          <w:szCs w:val="24"/>
          <w:lang w:eastAsia="ru-RU"/>
        </w:rPr>
      </w:pPr>
      <w:r w:rsidRPr="00201D64">
        <w:rPr>
          <w:rFonts w:ascii="Arial" w:eastAsia="Times New Roman" w:hAnsi="Arial" w:cs="Arial"/>
          <w:color w:val="242424"/>
          <w:sz w:val="20"/>
          <w:szCs w:val="20"/>
          <w:lang w:eastAsia="ru-RU"/>
        </w:rPr>
        <w:t>2. При рассмотрении дел об административных правонарушениях по статье 19.29 КоАП РФ следует учитывать, что предусмотренная частью 4 статьи 12 Федерального закона "О противодействии коррупции" обязанность возникает у работодателя при заключении с бывшим государственным (муниципальным) служащим трудового договора вне зависимости от размера предусмотренной им заработной платы.</w:t>
      </w:r>
    </w:p>
    <w:p w:rsidR="00201D64" w:rsidRPr="00201D64" w:rsidRDefault="00201D64" w:rsidP="00201D64">
      <w:pPr>
        <w:spacing w:after="0" w:line="240" w:lineRule="auto"/>
        <w:ind w:firstLine="709"/>
        <w:jc w:val="both"/>
        <w:rPr>
          <w:rFonts w:ascii="Times New Roman" w:eastAsia="Times New Roman" w:hAnsi="Times New Roman" w:cs="Times New Roman"/>
          <w:color w:val="242424"/>
          <w:sz w:val="24"/>
          <w:szCs w:val="24"/>
          <w:lang w:eastAsia="ru-RU"/>
        </w:rPr>
      </w:pPr>
      <w:r w:rsidRPr="00201D64">
        <w:rPr>
          <w:rFonts w:ascii="Arial" w:eastAsia="Times New Roman" w:hAnsi="Arial" w:cs="Arial"/>
          <w:color w:val="242424"/>
          <w:sz w:val="20"/>
          <w:szCs w:val="20"/>
          <w:lang w:eastAsia="ru-RU"/>
        </w:rPr>
        <w:t>При заключении гражданско-правового договора (гражданско-правовых договоров) работодатель обязан направить соответствующее сообщение, если стоимость выполняемых работ (оказываемых услуг) по такому договору (договорам) превышает сто тысяч рублей в месяц либо если указанный договор (договоры) заключен на срок менее месяца, но стоимость выполняемых работ (оказываемых услуг) также превышает сто тысяч рублей.</w:t>
      </w:r>
    </w:p>
    <w:p w:rsidR="00201D64" w:rsidRPr="00201D64" w:rsidRDefault="00201D64" w:rsidP="00201D64">
      <w:pPr>
        <w:spacing w:after="0" w:line="240" w:lineRule="auto"/>
        <w:ind w:firstLine="709"/>
        <w:jc w:val="both"/>
        <w:rPr>
          <w:rFonts w:ascii="Times New Roman" w:eastAsia="Times New Roman" w:hAnsi="Times New Roman" w:cs="Times New Roman"/>
          <w:color w:val="242424"/>
          <w:sz w:val="24"/>
          <w:szCs w:val="24"/>
          <w:lang w:eastAsia="ru-RU"/>
        </w:rPr>
      </w:pPr>
      <w:r w:rsidRPr="00201D64">
        <w:rPr>
          <w:rFonts w:ascii="Arial" w:eastAsia="Times New Roman" w:hAnsi="Arial" w:cs="Arial"/>
          <w:color w:val="242424"/>
          <w:sz w:val="20"/>
          <w:szCs w:val="20"/>
          <w:lang w:eastAsia="ru-RU"/>
        </w:rPr>
        <w:t xml:space="preserve">3. При решении вопроса о привлечении к административной ответственности по статье 19.29 КоАП РФ необходимо принимать во внимание, что под указанными в статье 12 Федерального закона "О противодействии коррупции" перечнями, установленными нормативными правовыми актами Российской Федерации, следует понимать как перечни, утвержденные непосредственно для целей названной нормы, так и - в случае отсутствия названных перечней - нормативные правовые акты, определяющие должности государственной службы (должности </w:t>
      </w:r>
      <w:r w:rsidRPr="00201D64">
        <w:rPr>
          <w:rFonts w:ascii="Arial" w:eastAsia="Times New Roman" w:hAnsi="Arial" w:cs="Arial"/>
          <w:color w:val="242424"/>
          <w:sz w:val="20"/>
          <w:szCs w:val="20"/>
          <w:lang w:eastAsia="ru-RU"/>
        </w:rPr>
        <w:lastRenderedPageBreak/>
        <w:t>муниципальной службы), при замещении которых государственные служащие (муниципальные служащие) обязаны представлять сведения о своих доходах, об имуществе и обязательствах имущественного характера, а также сведения о доходах, об имуществе и обязательствах имущественного характера своих супруги (супруга) и несовершеннолетних детей (далее - Перечни), поскольку принятие последних также обусловлено предусмотренными законодательством мерами по противодействию коррупции.</w:t>
      </w:r>
    </w:p>
    <w:p w:rsidR="00201D64" w:rsidRPr="00201D64" w:rsidRDefault="00201D64" w:rsidP="00201D64">
      <w:pPr>
        <w:spacing w:after="0" w:line="240" w:lineRule="auto"/>
        <w:ind w:firstLine="709"/>
        <w:jc w:val="both"/>
        <w:rPr>
          <w:rFonts w:ascii="Times New Roman" w:eastAsia="Times New Roman" w:hAnsi="Times New Roman" w:cs="Times New Roman"/>
          <w:color w:val="242424"/>
          <w:sz w:val="24"/>
          <w:szCs w:val="24"/>
          <w:lang w:eastAsia="ru-RU"/>
        </w:rPr>
      </w:pPr>
      <w:r w:rsidRPr="00201D64">
        <w:rPr>
          <w:rFonts w:ascii="Arial" w:eastAsia="Times New Roman" w:hAnsi="Arial" w:cs="Arial"/>
          <w:color w:val="242424"/>
          <w:sz w:val="20"/>
          <w:szCs w:val="20"/>
          <w:lang w:eastAsia="ru-RU"/>
        </w:rPr>
        <w:t>4. Неисполнение работодателем обязанности направить представителю нанимателя (работодателю) бывшего государственного (муниципального) служащего сообщение о заключении с ним трудового (гражданско-правового) договора не образует объективную сторону состава административного правонарушения, предусмотренного статьей 19.29 КоАП РФ, если в период прохождения бывшим государственным (муниципальным) служащим государственной (муниципальной) службы замещаемая им должность не была включена в Перечни либо была исключена из них к дате заключения трудового (гражданско-правового) договора.</w:t>
      </w:r>
    </w:p>
    <w:p w:rsidR="00201D64" w:rsidRPr="00201D64" w:rsidRDefault="00201D64" w:rsidP="00201D64">
      <w:pPr>
        <w:spacing w:after="0" w:line="240" w:lineRule="auto"/>
        <w:ind w:firstLine="709"/>
        <w:jc w:val="both"/>
        <w:rPr>
          <w:rFonts w:ascii="Times New Roman" w:eastAsia="Times New Roman" w:hAnsi="Times New Roman" w:cs="Times New Roman"/>
          <w:color w:val="242424"/>
          <w:sz w:val="24"/>
          <w:szCs w:val="24"/>
          <w:lang w:eastAsia="ru-RU"/>
        </w:rPr>
      </w:pPr>
      <w:r w:rsidRPr="00201D64">
        <w:rPr>
          <w:rFonts w:ascii="Arial" w:eastAsia="Times New Roman" w:hAnsi="Arial" w:cs="Arial"/>
          <w:color w:val="242424"/>
          <w:sz w:val="20"/>
          <w:szCs w:val="20"/>
          <w:lang w:eastAsia="ru-RU"/>
        </w:rPr>
        <w:t>5. Судьям следует учитывать, что ограничения, налагаемые на бывшего государственного (муниципального) служащего, установлены в целях противодействия коррупции при осуществлении данным лицом деятельности или выполнении работ (оказании услуг) в сфере, не связанной с обеспечением исполнения государственных или иных публичных полномочий. В связи с этим обязанность по направлению сообщения о заключении с бывшим государственным (муниципальным) служащим трудового (гражданско-правового) договора представителю нанимателя (работодателю) по последнему месту службы данного лица не распространяется на государственные (муниципальные) органы, в том числе в случае, когда бывший государственный (муниципальный) служащий трудоустраивается в данный орган на должность, не относящуюся к должностям государственной (муниципальной) службы, либо заключает с указанным органом гражданско-правовой договор (договоры).</w:t>
      </w:r>
    </w:p>
    <w:p w:rsidR="00201D64" w:rsidRPr="00201D64" w:rsidRDefault="00201D64" w:rsidP="00201D64">
      <w:pPr>
        <w:spacing w:after="0" w:line="240" w:lineRule="auto"/>
        <w:ind w:firstLine="709"/>
        <w:jc w:val="both"/>
        <w:rPr>
          <w:rFonts w:ascii="Times New Roman" w:eastAsia="Times New Roman" w:hAnsi="Times New Roman" w:cs="Times New Roman"/>
          <w:color w:val="242424"/>
          <w:sz w:val="24"/>
          <w:szCs w:val="24"/>
          <w:lang w:eastAsia="ru-RU"/>
        </w:rPr>
      </w:pPr>
      <w:r w:rsidRPr="00201D64">
        <w:rPr>
          <w:rFonts w:ascii="Arial" w:eastAsia="Times New Roman" w:hAnsi="Arial" w:cs="Arial"/>
          <w:color w:val="242424"/>
          <w:sz w:val="20"/>
          <w:szCs w:val="20"/>
          <w:lang w:eastAsia="ru-RU"/>
        </w:rPr>
        <w:t>При этом исходя из смысла статьи 12 Федерального закона "О противодействии коррупции" обязанность, предусмотренную частью 4 названной статьи, несут организации независимо от их организационно-правовой формы.</w:t>
      </w:r>
    </w:p>
    <w:p w:rsidR="00201D64" w:rsidRPr="00201D64" w:rsidRDefault="00201D64" w:rsidP="00201D64">
      <w:pPr>
        <w:spacing w:after="0" w:line="240" w:lineRule="auto"/>
        <w:ind w:firstLine="709"/>
        <w:jc w:val="both"/>
        <w:rPr>
          <w:rFonts w:ascii="Times New Roman" w:eastAsia="Times New Roman" w:hAnsi="Times New Roman" w:cs="Times New Roman"/>
          <w:color w:val="242424"/>
          <w:sz w:val="24"/>
          <w:szCs w:val="24"/>
          <w:lang w:eastAsia="ru-RU"/>
        </w:rPr>
      </w:pPr>
      <w:r w:rsidRPr="00201D64">
        <w:rPr>
          <w:rFonts w:ascii="Arial" w:eastAsia="Times New Roman" w:hAnsi="Arial" w:cs="Arial"/>
          <w:color w:val="242424"/>
          <w:sz w:val="20"/>
          <w:szCs w:val="20"/>
          <w:lang w:eastAsia="ru-RU"/>
        </w:rPr>
        <w:t>6. При рассмотрении дел о привлечении к административной ответственности по статье 19.29 КоАП РФ следует учитывать, что предусмотренная частью 4 статьи 12 Федерального закона "О противодействии коррупции" обязанность подлежит исполнению в течение двух лет после увольнения гражданина с государственной или муниципальной службы независимо от последнего места работы бывшего государственного (муниципального) служащего и количества заключенных им за этот период трудовых договоров.</w:t>
      </w:r>
    </w:p>
    <w:p w:rsidR="00201D64" w:rsidRPr="00201D64" w:rsidRDefault="00201D64" w:rsidP="00201D64">
      <w:pPr>
        <w:spacing w:after="0" w:line="240" w:lineRule="auto"/>
        <w:ind w:firstLine="709"/>
        <w:jc w:val="both"/>
        <w:rPr>
          <w:rFonts w:ascii="Times New Roman" w:eastAsia="Times New Roman" w:hAnsi="Times New Roman" w:cs="Times New Roman"/>
          <w:color w:val="242424"/>
          <w:sz w:val="24"/>
          <w:szCs w:val="24"/>
          <w:lang w:eastAsia="ru-RU"/>
        </w:rPr>
      </w:pPr>
      <w:r w:rsidRPr="00201D64">
        <w:rPr>
          <w:rFonts w:ascii="Arial" w:eastAsia="Times New Roman" w:hAnsi="Arial" w:cs="Arial"/>
          <w:color w:val="242424"/>
          <w:sz w:val="20"/>
          <w:szCs w:val="20"/>
          <w:lang w:eastAsia="ru-RU"/>
        </w:rPr>
        <w:t>Не является нарушением требований части 4 статьи 12 Федерального закона "О противодействии коррупции" несообщение работодателем представителю нанимателя (работодателя) бывшего государственного (муниципального) служащего в случае перевода последнего на другую должность или на другую работу в пределах одной организации, а также при заключении с ним трудового договора о выполнении в свободное от основной работы время другой регулярной оплачиваемой работы у того же работодателя (внутреннее совместительство).</w:t>
      </w:r>
    </w:p>
    <w:p w:rsidR="00201D64" w:rsidRPr="00201D64" w:rsidRDefault="00201D64" w:rsidP="00201D64">
      <w:pPr>
        <w:spacing w:after="0" w:line="240" w:lineRule="auto"/>
        <w:ind w:firstLine="709"/>
        <w:jc w:val="both"/>
        <w:rPr>
          <w:rFonts w:ascii="Times New Roman" w:eastAsia="Times New Roman" w:hAnsi="Times New Roman" w:cs="Times New Roman"/>
          <w:color w:val="242424"/>
          <w:sz w:val="24"/>
          <w:szCs w:val="24"/>
          <w:lang w:eastAsia="ru-RU"/>
        </w:rPr>
      </w:pPr>
      <w:r w:rsidRPr="00201D64">
        <w:rPr>
          <w:rFonts w:ascii="Arial" w:eastAsia="Times New Roman" w:hAnsi="Arial" w:cs="Arial"/>
          <w:color w:val="242424"/>
          <w:sz w:val="20"/>
          <w:szCs w:val="20"/>
          <w:lang w:eastAsia="ru-RU"/>
        </w:rPr>
        <w:t>При этом заключение с бывшим государственным (муниципальным) служащим трудового договора о выполнении им в свободное от основной работы время другой регулярной оплачиваемой работы у другого работодателя (внешнее совместительство) влечет обязанность последнего сообщить о заключении трудового договора по совместительству представителю нанимателя (работодателю) бывшего государственного (муниципального) служащего по последнему месту его службы.</w:t>
      </w:r>
    </w:p>
    <w:p w:rsidR="00201D64" w:rsidRPr="00201D64" w:rsidRDefault="00201D64" w:rsidP="00201D64">
      <w:pPr>
        <w:spacing w:after="0" w:line="240" w:lineRule="auto"/>
        <w:ind w:firstLine="709"/>
        <w:jc w:val="both"/>
        <w:rPr>
          <w:rFonts w:ascii="Times New Roman" w:eastAsia="Times New Roman" w:hAnsi="Times New Roman" w:cs="Times New Roman"/>
          <w:color w:val="242424"/>
          <w:sz w:val="24"/>
          <w:szCs w:val="24"/>
          <w:lang w:eastAsia="ru-RU"/>
        </w:rPr>
      </w:pPr>
      <w:r w:rsidRPr="00201D64">
        <w:rPr>
          <w:rFonts w:ascii="Arial" w:eastAsia="Times New Roman" w:hAnsi="Arial" w:cs="Arial"/>
          <w:color w:val="242424"/>
          <w:sz w:val="20"/>
          <w:szCs w:val="20"/>
          <w:lang w:eastAsia="ru-RU"/>
        </w:rPr>
        <w:t>7. При уклонении работодателя от оформления с бывшим государственным (муниципальным) служащим трудового договора или его ненадлежащем оформлении виновное лицо может быть привлечено к административной ответственности, предусмотренной частями 4 или 5 статьи 5.27 КоАП РФ.</w:t>
      </w:r>
    </w:p>
    <w:p w:rsidR="00201D64" w:rsidRPr="00201D64" w:rsidRDefault="00201D64" w:rsidP="00201D64">
      <w:pPr>
        <w:spacing w:after="0" w:line="240" w:lineRule="auto"/>
        <w:ind w:firstLine="709"/>
        <w:jc w:val="both"/>
        <w:rPr>
          <w:rFonts w:ascii="Times New Roman" w:eastAsia="Times New Roman" w:hAnsi="Times New Roman" w:cs="Times New Roman"/>
          <w:color w:val="242424"/>
          <w:sz w:val="24"/>
          <w:szCs w:val="24"/>
          <w:lang w:eastAsia="ru-RU"/>
        </w:rPr>
      </w:pPr>
      <w:r w:rsidRPr="00201D64">
        <w:rPr>
          <w:rFonts w:ascii="Arial" w:eastAsia="Times New Roman" w:hAnsi="Arial" w:cs="Arial"/>
          <w:color w:val="242424"/>
          <w:sz w:val="20"/>
          <w:szCs w:val="20"/>
          <w:lang w:eastAsia="ru-RU"/>
        </w:rPr>
        <w:t>Кроме того, указанное обстоятельство при условии доказанности продолжительности фактического допущения работника к работе с ведома или по поручению работодателя или его уполномоченного на это представителя (часть третья статьи 16 Трудового кодекса Российской Федерации) в течение десяти дней и более не исключает возможности привлечения данного лица к административной ответственности также по статье 19.29 КоАП РФ, поскольку данный срок предусмотрен для выполнения работодателем обязанности, предусмотренной частью 4 статьи 12 Федерального закона "О противодействии коррупции".</w:t>
      </w:r>
    </w:p>
    <w:p w:rsidR="00201D64" w:rsidRPr="00201D64" w:rsidRDefault="00201D64" w:rsidP="00201D64">
      <w:pPr>
        <w:spacing w:after="0" w:line="240" w:lineRule="auto"/>
        <w:ind w:firstLine="709"/>
        <w:jc w:val="both"/>
        <w:rPr>
          <w:rFonts w:ascii="Times New Roman" w:eastAsia="Times New Roman" w:hAnsi="Times New Roman" w:cs="Times New Roman"/>
          <w:color w:val="242424"/>
          <w:sz w:val="24"/>
          <w:szCs w:val="24"/>
          <w:lang w:eastAsia="ru-RU"/>
        </w:rPr>
      </w:pPr>
      <w:r w:rsidRPr="00201D64">
        <w:rPr>
          <w:rFonts w:ascii="Arial" w:eastAsia="Times New Roman" w:hAnsi="Arial" w:cs="Arial"/>
          <w:color w:val="242424"/>
          <w:sz w:val="20"/>
          <w:szCs w:val="20"/>
          <w:lang w:eastAsia="ru-RU"/>
        </w:rPr>
        <w:t>8. Если на момент заключения трудового (гражданско-правового) договора с бывшим государственным (муниципальным) служащим государственный (муниципальный) орган, в котором данное лицо проходило государственную (муниципальную) службу, реорганизован или упразднен, соответствующее сообщение подлежит направлению в государственный (муниципальный) орган, который осуществляет функции реорганизованного (упраздненного) органа.</w:t>
      </w:r>
    </w:p>
    <w:p w:rsidR="00201D64" w:rsidRPr="00201D64" w:rsidRDefault="00201D64" w:rsidP="00201D64">
      <w:pPr>
        <w:spacing w:after="0" w:line="240" w:lineRule="auto"/>
        <w:ind w:firstLine="709"/>
        <w:jc w:val="both"/>
        <w:rPr>
          <w:rFonts w:ascii="Times New Roman" w:eastAsia="Times New Roman" w:hAnsi="Times New Roman" w:cs="Times New Roman"/>
          <w:color w:val="242424"/>
          <w:sz w:val="24"/>
          <w:szCs w:val="24"/>
          <w:lang w:eastAsia="ru-RU"/>
        </w:rPr>
      </w:pPr>
      <w:r w:rsidRPr="00201D64">
        <w:rPr>
          <w:rFonts w:ascii="Arial" w:eastAsia="Times New Roman" w:hAnsi="Arial" w:cs="Arial"/>
          <w:color w:val="242424"/>
          <w:sz w:val="20"/>
          <w:szCs w:val="20"/>
          <w:lang w:eastAsia="ru-RU"/>
        </w:rPr>
        <w:t xml:space="preserve">В случае, когда функции реорганизованного (упраздненного) государственного (муниципального) органа распределены между несколькими государственными (муниципальными) </w:t>
      </w:r>
      <w:r w:rsidRPr="00201D64">
        <w:rPr>
          <w:rFonts w:ascii="Arial" w:eastAsia="Times New Roman" w:hAnsi="Arial" w:cs="Arial"/>
          <w:color w:val="242424"/>
          <w:sz w:val="20"/>
          <w:szCs w:val="20"/>
          <w:lang w:eastAsia="ru-RU"/>
        </w:rPr>
        <w:lastRenderedPageBreak/>
        <w:t>органами, допустимо направление соответствующих сведений в любой государственный (муниципальный) орган, который осуществляет функции реорганизованного (упраздненного) органа.</w:t>
      </w:r>
    </w:p>
    <w:p w:rsidR="00201D64" w:rsidRPr="00201D64" w:rsidRDefault="00201D64" w:rsidP="00201D64">
      <w:pPr>
        <w:spacing w:after="0" w:line="240" w:lineRule="auto"/>
        <w:ind w:firstLine="709"/>
        <w:jc w:val="both"/>
        <w:rPr>
          <w:rFonts w:ascii="Times New Roman" w:eastAsia="Times New Roman" w:hAnsi="Times New Roman" w:cs="Times New Roman"/>
          <w:color w:val="242424"/>
          <w:sz w:val="24"/>
          <w:szCs w:val="24"/>
          <w:lang w:eastAsia="ru-RU"/>
        </w:rPr>
      </w:pPr>
      <w:r w:rsidRPr="00201D64">
        <w:rPr>
          <w:rFonts w:ascii="Arial" w:eastAsia="Times New Roman" w:hAnsi="Arial" w:cs="Arial"/>
          <w:color w:val="242424"/>
          <w:sz w:val="20"/>
          <w:szCs w:val="20"/>
          <w:lang w:eastAsia="ru-RU"/>
        </w:rPr>
        <w:t>9. Предусмотренный Федеральным законом "О противодействии коррупции" десятидневный срок для направления сообщения о заключении трудового (гражданско-правового) договора с бывшим государственным (муниципальным) служащим, исчисляемый в календарном порядке, начинает течь со дня, следующего за днем заключения договора с указанным лицом либо его фактического допущения к работе с ведома или по поручению работодателя или его уполномоченного на это представителя. В случае если последний день срока исполнения указанной обязанности приходится на нерабочий день, то днем окончания срока считается ближайший следующий за ним рабочий день.</w:t>
      </w:r>
    </w:p>
    <w:p w:rsidR="00201D64" w:rsidRPr="00201D64" w:rsidRDefault="00201D64" w:rsidP="00201D64">
      <w:pPr>
        <w:spacing w:after="0" w:line="240" w:lineRule="auto"/>
        <w:ind w:firstLine="709"/>
        <w:jc w:val="both"/>
        <w:rPr>
          <w:rFonts w:ascii="Times New Roman" w:eastAsia="Times New Roman" w:hAnsi="Times New Roman" w:cs="Times New Roman"/>
          <w:color w:val="242424"/>
          <w:sz w:val="24"/>
          <w:szCs w:val="24"/>
          <w:lang w:eastAsia="ru-RU"/>
        </w:rPr>
      </w:pPr>
      <w:r w:rsidRPr="00201D64">
        <w:rPr>
          <w:rFonts w:ascii="Arial" w:eastAsia="Times New Roman" w:hAnsi="Arial" w:cs="Arial"/>
          <w:color w:val="242424"/>
          <w:sz w:val="20"/>
          <w:szCs w:val="20"/>
          <w:lang w:eastAsia="ru-RU"/>
        </w:rPr>
        <w:t>10. При решении вопроса о наличии объективной стороны состава административного правонарушения, предусмотренного статьей 19.29 КоАП РФ, следует учитывать, что сообщение о заключении договора с бывшим государственным (муниципальным) служащим представителю нанимателя (работодателю) государственного или муниципального служащего по последнему месту его службы должно быть направлено с соблюдением порядка, устанавливаемого нормативными правовыми актами Российской Федерации, включая требования к форме и содержанию данного сообщения.</w:t>
      </w:r>
    </w:p>
    <w:p w:rsidR="00201D64" w:rsidRPr="00201D64" w:rsidRDefault="00201D64" w:rsidP="00201D64">
      <w:pPr>
        <w:spacing w:after="0" w:line="240" w:lineRule="auto"/>
        <w:ind w:firstLine="709"/>
        <w:jc w:val="both"/>
        <w:rPr>
          <w:rFonts w:ascii="Times New Roman" w:eastAsia="Times New Roman" w:hAnsi="Times New Roman" w:cs="Times New Roman"/>
          <w:color w:val="242424"/>
          <w:sz w:val="24"/>
          <w:szCs w:val="24"/>
          <w:lang w:eastAsia="ru-RU"/>
        </w:rPr>
      </w:pPr>
      <w:r w:rsidRPr="00201D64">
        <w:rPr>
          <w:rFonts w:ascii="Arial" w:eastAsia="Times New Roman" w:hAnsi="Arial" w:cs="Arial"/>
          <w:color w:val="242424"/>
          <w:sz w:val="20"/>
          <w:szCs w:val="20"/>
          <w:lang w:eastAsia="ru-RU"/>
        </w:rPr>
        <w:t>11. Субъектами административных правонарушений, предусмотренных статьей 19.29 КоАП РФ, являются граждане, должностные лица и юридические лица - работодатели либо заказчики работ (услуг), которые привлекли к трудовой деятельности на условиях трудового договора либо к выполнению работ или оказанию услуг на условиях гражданско-правового договора бывшего государственного (муниципального) служащего с нарушением требований, предусмотренных Федеральным законом "О противодействии коррупции".</w:t>
      </w:r>
    </w:p>
    <w:p w:rsidR="00201D64" w:rsidRPr="00201D64" w:rsidRDefault="00201D64" w:rsidP="00201D64">
      <w:pPr>
        <w:spacing w:after="0" w:line="240" w:lineRule="auto"/>
        <w:ind w:firstLine="709"/>
        <w:jc w:val="both"/>
        <w:rPr>
          <w:rFonts w:ascii="Times New Roman" w:eastAsia="Times New Roman" w:hAnsi="Times New Roman" w:cs="Times New Roman"/>
          <w:color w:val="242424"/>
          <w:sz w:val="24"/>
          <w:szCs w:val="24"/>
          <w:lang w:eastAsia="ru-RU"/>
        </w:rPr>
      </w:pPr>
      <w:r w:rsidRPr="00201D64">
        <w:rPr>
          <w:rFonts w:ascii="Arial" w:eastAsia="Times New Roman" w:hAnsi="Arial" w:cs="Arial"/>
          <w:color w:val="242424"/>
          <w:sz w:val="20"/>
          <w:szCs w:val="20"/>
          <w:lang w:eastAsia="ru-RU"/>
        </w:rPr>
        <w:t>Граждане (физические лица) подлежат административной ответственности по статье 19.29 КоАП РФ в случае привлечения ими к трудовой деятельности на договорной основе иных физических лиц, являвшихся бывшими государственными (муниципальными) служащими. Например, к таким гражданам могут быть отнесены занимающиеся частной практикой нотариусы, адвокаты, учредившие адвокатские кабинеты, и другие лица, занимающиеся в установленном законодательством Российской Федерации порядке частной практикой.</w:t>
      </w:r>
    </w:p>
    <w:p w:rsidR="00201D64" w:rsidRPr="00201D64" w:rsidRDefault="00201D64" w:rsidP="00201D64">
      <w:pPr>
        <w:spacing w:after="0" w:line="240" w:lineRule="auto"/>
        <w:ind w:firstLine="709"/>
        <w:jc w:val="both"/>
        <w:rPr>
          <w:rFonts w:ascii="Times New Roman" w:eastAsia="Times New Roman" w:hAnsi="Times New Roman" w:cs="Times New Roman"/>
          <w:color w:val="242424"/>
          <w:sz w:val="24"/>
          <w:szCs w:val="24"/>
          <w:lang w:eastAsia="ru-RU"/>
        </w:rPr>
      </w:pPr>
      <w:r w:rsidRPr="00201D64">
        <w:rPr>
          <w:rFonts w:ascii="Arial" w:eastAsia="Times New Roman" w:hAnsi="Arial" w:cs="Arial"/>
          <w:color w:val="242424"/>
          <w:sz w:val="20"/>
          <w:szCs w:val="20"/>
          <w:lang w:eastAsia="ru-RU"/>
        </w:rPr>
        <w:t>Исходя из примечания к статье 2.4 КоАП РФ лицо, осуществляющее предпринимательскую деятельность без образования юридического лица, совершившее административное правонарушение, предусмотренное статьей 19.29 КоАП РФ, несет административную ответственность как должностное лицо, в том числе в случае, когда дело о данном административном правонарушении возбуждено после утраты данным лицом статуса индивидуального предпринимателя.</w:t>
      </w:r>
    </w:p>
    <w:p w:rsidR="00201D64" w:rsidRPr="00201D64" w:rsidRDefault="00201D64" w:rsidP="00201D64">
      <w:pPr>
        <w:spacing w:after="0" w:line="240" w:lineRule="auto"/>
        <w:ind w:firstLine="709"/>
        <w:jc w:val="both"/>
        <w:rPr>
          <w:rFonts w:ascii="Times New Roman" w:eastAsia="Times New Roman" w:hAnsi="Times New Roman" w:cs="Times New Roman"/>
          <w:color w:val="242424"/>
          <w:sz w:val="24"/>
          <w:szCs w:val="24"/>
          <w:lang w:eastAsia="ru-RU"/>
        </w:rPr>
      </w:pPr>
      <w:r w:rsidRPr="00201D64">
        <w:rPr>
          <w:rFonts w:ascii="Arial" w:eastAsia="Times New Roman" w:hAnsi="Arial" w:cs="Arial"/>
          <w:color w:val="242424"/>
          <w:sz w:val="20"/>
          <w:szCs w:val="20"/>
          <w:lang w:eastAsia="ru-RU"/>
        </w:rPr>
        <w:t>К административной ответственности по статье 19.29 КоАП РФ подлежат привлечению должностные лица организации, занимающие должность руководителя или уполномоченные на подписание трудового (гражданско-правового) договора со стороны работодателя, в том числе и в тех случаях, когда обязанность по направлению соответствующего сообщения возложена на иное должностное лицо данной организации.</w:t>
      </w:r>
    </w:p>
    <w:p w:rsidR="00201D64" w:rsidRPr="00201D64" w:rsidRDefault="00201D64" w:rsidP="00201D64">
      <w:pPr>
        <w:spacing w:after="0" w:line="240" w:lineRule="auto"/>
        <w:ind w:firstLine="709"/>
        <w:jc w:val="both"/>
        <w:rPr>
          <w:rFonts w:ascii="Times New Roman" w:eastAsia="Times New Roman" w:hAnsi="Times New Roman" w:cs="Times New Roman"/>
          <w:color w:val="242424"/>
          <w:sz w:val="24"/>
          <w:szCs w:val="24"/>
          <w:lang w:eastAsia="ru-RU"/>
        </w:rPr>
      </w:pPr>
      <w:r w:rsidRPr="00201D64">
        <w:rPr>
          <w:rFonts w:ascii="Arial" w:eastAsia="Times New Roman" w:hAnsi="Arial" w:cs="Arial"/>
          <w:color w:val="242424"/>
          <w:sz w:val="20"/>
          <w:szCs w:val="20"/>
          <w:lang w:eastAsia="ru-RU"/>
        </w:rPr>
        <w:t>В силу положений части 1 статьи 1.5 КоАП РФ руководитель организации не может являться субъектом административного правонарушения, предусмотренного статьей 19.29 КоАП РФ, совершенного до его назначения на указанную должность. Однако это не исключает обязанности данного лица в случае выявления им нарушений требований части 4 статьи 12 Федерального закона "О противодействии коррупции", допущенных до его назначения на указанную должность, принять меры по их устранению. При этом направление данным лицом сообщения о заключении трудового (гражданско-правового) договора на выполнение работ (оказание услуг) с бывшим государственным (муниципальным) служащим за пределами предусмотренного частью 4 статьи 12 Федерального закона "О противодействии коррупции" срока не может являться основанием для его привлечения к административной ответственности.</w:t>
      </w:r>
    </w:p>
    <w:p w:rsidR="00201D64" w:rsidRPr="00201D64" w:rsidRDefault="00201D64" w:rsidP="00201D64">
      <w:pPr>
        <w:spacing w:after="0" w:line="240" w:lineRule="auto"/>
        <w:ind w:firstLine="709"/>
        <w:jc w:val="both"/>
        <w:rPr>
          <w:rFonts w:ascii="Times New Roman" w:eastAsia="Times New Roman" w:hAnsi="Times New Roman" w:cs="Times New Roman"/>
          <w:color w:val="242424"/>
          <w:sz w:val="24"/>
          <w:szCs w:val="24"/>
          <w:lang w:eastAsia="ru-RU"/>
        </w:rPr>
      </w:pPr>
      <w:r w:rsidRPr="00201D64">
        <w:rPr>
          <w:rFonts w:ascii="Arial" w:eastAsia="Times New Roman" w:hAnsi="Arial" w:cs="Arial"/>
          <w:color w:val="242424"/>
          <w:sz w:val="20"/>
          <w:szCs w:val="20"/>
          <w:lang w:eastAsia="ru-RU"/>
        </w:rPr>
        <w:t>Прекращение трудовых отношений с руководителем организации, допустившим в период исполнения им своих служебных обязанностей нарушение требований части 4 статьи 12 Федерального закона "О противодействии коррупции", не исключает возможности возбуждения в отношении этого лица производства по делу об административном правонарушении, предусмотренном статьей 19.29 КоАП РФ, и привлечения его к административной ответственности в качестве должностного лица.</w:t>
      </w:r>
    </w:p>
    <w:p w:rsidR="00201D64" w:rsidRPr="00201D64" w:rsidRDefault="00201D64" w:rsidP="00201D64">
      <w:pPr>
        <w:spacing w:after="0" w:line="240" w:lineRule="auto"/>
        <w:ind w:firstLine="709"/>
        <w:jc w:val="both"/>
        <w:rPr>
          <w:rFonts w:ascii="Times New Roman" w:eastAsia="Times New Roman" w:hAnsi="Times New Roman" w:cs="Times New Roman"/>
          <w:color w:val="242424"/>
          <w:sz w:val="24"/>
          <w:szCs w:val="24"/>
          <w:lang w:eastAsia="ru-RU"/>
        </w:rPr>
      </w:pPr>
      <w:r w:rsidRPr="00201D64">
        <w:rPr>
          <w:rFonts w:ascii="Arial" w:eastAsia="Times New Roman" w:hAnsi="Arial" w:cs="Arial"/>
          <w:color w:val="242424"/>
          <w:sz w:val="20"/>
          <w:szCs w:val="20"/>
          <w:lang w:eastAsia="ru-RU"/>
        </w:rPr>
        <w:t>В случае, когда нарушение указанных требований допущено при трудоустройстве бывшего государственного (муниципального) служащего в организацию в качестве ее руководителя, привлечению к административной ответственности по статье 19.29 КоАП РФ подлежит должностное лицо, подписавшее с бывшим государственным (муниципальным) служащим трудовой договор.</w:t>
      </w:r>
    </w:p>
    <w:p w:rsidR="00201D64" w:rsidRPr="00201D64" w:rsidRDefault="00201D64" w:rsidP="00201D64">
      <w:pPr>
        <w:spacing w:after="0" w:line="240" w:lineRule="auto"/>
        <w:ind w:firstLine="709"/>
        <w:jc w:val="both"/>
        <w:rPr>
          <w:rFonts w:ascii="Times New Roman" w:eastAsia="Times New Roman" w:hAnsi="Times New Roman" w:cs="Times New Roman"/>
          <w:color w:val="242424"/>
          <w:sz w:val="24"/>
          <w:szCs w:val="24"/>
          <w:lang w:eastAsia="ru-RU"/>
        </w:rPr>
      </w:pPr>
      <w:r w:rsidRPr="00201D64">
        <w:rPr>
          <w:rFonts w:ascii="Arial" w:eastAsia="Times New Roman" w:hAnsi="Arial" w:cs="Arial"/>
          <w:color w:val="242424"/>
          <w:sz w:val="20"/>
          <w:szCs w:val="20"/>
          <w:lang w:eastAsia="ru-RU"/>
        </w:rPr>
        <w:lastRenderedPageBreak/>
        <w:t>Обратить внимание судей на то, что исходя из толкования части 3 статьи 2.1 КоАП РФ привлечение к административной ответственности по статье 19.29 КоАП РФ должностного лица не освобождает от административной ответственности за данное правонарушение юридическое лицо, равно как и назначение административного наказания юридическому лицу не освобождает от административной ответственности за данное правонарушение виновное должностное лицо.</w:t>
      </w:r>
    </w:p>
    <w:p w:rsidR="00201D64" w:rsidRPr="00201D64" w:rsidRDefault="00201D64" w:rsidP="00201D64">
      <w:pPr>
        <w:spacing w:after="0" w:line="240" w:lineRule="auto"/>
        <w:ind w:firstLine="709"/>
        <w:jc w:val="both"/>
        <w:rPr>
          <w:rFonts w:ascii="Times New Roman" w:eastAsia="Times New Roman" w:hAnsi="Times New Roman" w:cs="Times New Roman"/>
          <w:color w:val="242424"/>
          <w:sz w:val="24"/>
          <w:szCs w:val="24"/>
          <w:lang w:eastAsia="ru-RU"/>
        </w:rPr>
      </w:pPr>
      <w:r w:rsidRPr="00201D64">
        <w:rPr>
          <w:rFonts w:ascii="Arial" w:eastAsia="Times New Roman" w:hAnsi="Arial" w:cs="Arial"/>
          <w:color w:val="242424"/>
          <w:sz w:val="20"/>
          <w:szCs w:val="20"/>
          <w:lang w:eastAsia="ru-RU"/>
        </w:rPr>
        <w:t>Регистрация бывшего государственного (муниципального) служащего в качестве индивидуального предпринимателя или учреждение данным гражданином юридического лица не порождает установленной частью 4 статьи 12 Федерального закона "О противодействии коррупции" обязанности.</w:t>
      </w:r>
    </w:p>
    <w:p w:rsidR="00201D64" w:rsidRPr="00201D64" w:rsidRDefault="00201D64" w:rsidP="00201D64">
      <w:pPr>
        <w:spacing w:after="0" w:line="240" w:lineRule="auto"/>
        <w:ind w:firstLine="709"/>
        <w:jc w:val="both"/>
        <w:rPr>
          <w:rFonts w:ascii="Times New Roman" w:eastAsia="Times New Roman" w:hAnsi="Times New Roman" w:cs="Times New Roman"/>
          <w:color w:val="242424"/>
          <w:sz w:val="24"/>
          <w:szCs w:val="24"/>
          <w:lang w:eastAsia="ru-RU"/>
        </w:rPr>
      </w:pPr>
      <w:r w:rsidRPr="00201D64">
        <w:rPr>
          <w:rFonts w:ascii="Arial" w:eastAsia="Times New Roman" w:hAnsi="Arial" w:cs="Arial"/>
          <w:color w:val="242424"/>
          <w:sz w:val="20"/>
          <w:szCs w:val="20"/>
          <w:lang w:eastAsia="ru-RU"/>
        </w:rPr>
        <w:t>12. С учетом того, что обязанность по сообщению сведений о замещаемой гражданином в течение предшествующих трудоустройству двух лет должности государственной (муниципальной) службы, включенной в Перечни, возложена на бывшего государственного (муниципального) служащего, невыполнение данной обязанности указанным лицом при отсутствии у работодателя сведений о ранее замещаемой им должности государственной (муниципальной) службы, включенной в Перечни (например, отсутствие указанных сведений в трудовой книжке, документах воинского учета, военном билете, заполняемой гражданином при трудоустройстве анкете), свидетельствует об отсутствии оснований для привлечения работодателя к административной ответственности по статье 19.29 КоАП РФ (части 2, 4 и 5 статьи 12 Федерального закона "О противодействии коррупции").</w:t>
      </w:r>
    </w:p>
    <w:p w:rsidR="00201D64" w:rsidRPr="00201D64" w:rsidRDefault="00201D64" w:rsidP="00201D64">
      <w:pPr>
        <w:spacing w:after="0" w:line="240" w:lineRule="auto"/>
        <w:ind w:firstLine="709"/>
        <w:jc w:val="both"/>
        <w:rPr>
          <w:rFonts w:ascii="Times New Roman" w:eastAsia="Times New Roman" w:hAnsi="Times New Roman" w:cs="Times New Roman"/>
          <w:color w:val="242424"/>
          <w:sz w:val="24"/>
          <w:szCs w:val="24"/>
          <w:lang w:eastAsia="ru-RU"/>
        </w:rPr>
      </w:pPr>
      <w:r w:rsidRPr="00201D64">
        <w:rPr>
          <w:rFonts w:ascii="Arial" w:eastAsia="Times New Roman" w:hAnsi="Arial" w:cs="Arial"/>
          <w:color w:val="242424"/>
          <w:sz w:val="20"/>
          <w:szCs w:val="20"/>
          <w:lang w:eastAsia="ru-RU"/>
        </w:rPr>
        <w:t>13. Учитывая, что назначение виновному лицу административного наказания должно быть строго индивидуализировано, при наличии совокупности исключительных обстоятельств, связанных с характером совершенного административного правонарушения и его последствиями, имущественным и финансовым положением привлекаемого к административной ответственности юридического лица, судья, в производстве которого находится дело о таком административном правонарушении, вправе назначить юридическому лицу административный штраф в размере менее минимального размера административного штрафа, предусмотренного санкцией статьи 19.29 КоАП РФ (часть 3 и 3.2 статьи 4.1 КоАП РФ).</w:t>
      </w:r>
    </w:p>
    <w:p w:rsidR="00201D64" w:rsidRPr="00201D64" w:rsidRDefault="00201D64" w:rsidP="00201D64">
      <w:pPr>
        <w:spacing w:after="0" w:line="240" w:lineRule="auto"/>
        <w:ind w:firstLine="709"/>
        <w:jc w:val="both"/>
        <w:rPr>
          <w:rFonts w:ascii="Times New Roman" w:eastAsia="Times New Roman" w:hAnsi="Times New Roman" w:cs="Times New Roman"/>
          <w:color w:val="242424"/>
          <w:sz w:val="24"/>
          <w:szCs w:val="24"/>
          <w:lang w:eastAsia="ru-RU"/>
        </w:rPr>
      </w:pPr>
      <w:r w:rsidRPr="00201D64">
        <w:rPr>
          <w:rFonts w:ascii="Arial" w:eastAsia="Times New Roman" w:hAnsi="Arial" w:cs="Arial"/>
          <w:color w:val="242424"/>
          <w:sz w:val="20"/>
          <w:szCs w:val="20"/>
          <w:lang w:eastAsia="ru-RU"/>
        </w:rPr>
        <w:t>Например, при решении вопроса о возможности назначения юридическому лицу наказания ниже низшего предела, установленного санкцией названной статьи, может быть учтен факт содействия юридического лица в раскрытии данного административного правонарушения, а также отсутствие в числе должностных (служебных) обязанностей бывшего государственного (муниципального) служащего отдельных функций государственного, муниципального (административного) управления данной организацией.</w:t>
      </w:r>
    </w:p>
    <w:p w:rsidR="00201D64" w:rsidRPr="00201D64" w:rsidRDefault="00201D64" w:rsidP="00201D64">
      <w:pPr>
        <w:spacing w:after="0" w:line="240" w:lineRule="auto"/>
        <w:ind w:firstLine="709"/>
        <w:jc w:val="both"/>
        <w:rPr>
          <w:rFonts w:ascii="Times New Roman" w:eastAsia="Times New Roman" w:hAnsi="Times New Roman" w:cs="Times New Roman"/>
          <w:color w:val="242424"/>
          <w:sz w:val="24"/>
          <w:szCs w:val="24"/>
          <w:lang w:eastAsia="ru-RU"/>
        </w:rPr>
      </w:pPr>
      <w:r w:rsidRPr="00201D64">
        <w:rPr>
          <w:rFonts w:ascii="Arial" w:eastAsia="Times New Roman" w:hAnsi="Arial" w:cs="Arial"/>
          <w:color w:val="242424"/>
          <w:sz w:val="20"/>
          <w:szCs w:val="20"/>
          <w:lang w:eastAsia="ru-RU"/>
        </w:rPr>
        <w:t>Следует иметь в виду, что, поскольку санкция статьи 19.29 КоАП РФ не отвечает критериям, установленным частью 2.2 статьи 4.1 КоАП РФ для применения наказания ниже низшего предела в отношении граждан и должностных лиц, данный институт не подлежит применению при привлечении названных субъектов к административной ответственности по статье 19.29 КоАП РФ.</w:t>
      </w:r>
    </w:p>
    <w:p w:rsidR="00201D64" w:rsidRPr="00201D64" w:rsidRDefault="00201D64" w:rsidP="00201D64">
      <w:pPr>
        <w:spacing w:after="0" w:line="240" w:lineRule="auto"/>
        <w:ind w:firstLine="709"/>
        <w:jc w:val="both"/>
        <w:rPr>
          <w:rFonts w:ascii="Times New Roman" w:eastAsia="Times New Roman" w:hAnsi="Times New Roman" w:cs="Times New Roman"/>
          <w:color w:val="242424"/>
          <w:sz w:val="24"/>
          <w:szCs w:val="24"/>
          <w:lang w:eastAsia="ru-RU"/>
        </w:rPr>
      </w:pPr>
      <w:r w:rsidRPr="00201D64">
        <w:rPr>
          <w:rFonts w:ascii="Arial" w:eastAsia="Times New Roman" w:hAnsi="Arial" w:cs="Arial"/>
          <w:color w:val="242424"/>
          <w:sz w:val="20"/>
          <w:szCs w:val="20"/>
          <w:lang w:eastAsia="ru-RU"/>
        </w:rPr>
        <w:t>14. В случае, когда административное правонарушение, предусмотренное статьей 19.29 КоАП РФ, не является существенным нарушением охраняемых общественных отношений в сфере противодействия коррупции (например, выразилось в нарушении требований к форме и содержанию сообщения, направляемого по последнему месту службы государственного (муниципального) служащего, которое не привело к неполучению необходимой для целей Федерального закона "О противодействии коррупции" информации), данное административное правонарушение может быть признано малозначительным.</w:t>
      </w:r>
    </w:p>
    <w:p w:rsidR="00201D64" w:rsidRPr="00201D64" w:rsidRDefault="00201D64" w:rsidP="00201D64">
      <w:pPr>
        <w:spacing w:after="0" w:line="240" w:lineRule="auto"/>
        <w:ind w:firstLine="709"/>
        <w:jc w:val="both"/>
        <w:rPr>
          <w:rFonts w:ascii="Times New Roman" w:eastAsia="Times New Roman" w:hAnsi="Times New Roman" w:cs="Times New Roman"/>
          <w:color w:val="242424"/>
          <w:sz w:val="24"/>
          <w:szCs w:val="24"/>
          <w:lang w:eastAsia="ru-RU"/>
        </w:rPr>
      </w:pPr>
      <w:r w:rsidRPr="00201D64">
        <w:rPr>
          <w:rFonts w:ascii="Arial" w:eastAsia="Times New Roman" w:hAnsi="Arial" w:cs="Arial"/>
          <w:color w:val="242424"/>
          <w:sz w:val="20"/>
          <w:szCs w:val="20"/>
          <w:lang w:eastAsia="ru-RU"/>
        </w:rPr>
        <w:t>15. Объективная сторона состава административного правонарушения, предусмотренного статьей 19.29 КоАП РФ, выражается в нарушении законодательства Российской Федерации о противодействии коррупции, в связи с этим срок давности привлечения к административной ответственности за его совершение составляет шесть лет (часть 1 статьи 4.5 КоАП РФ).</w:t>
      </w:r>
    </w:p>
    <w:p w:rsidR="00201D64" w:rsidRPr="00201D64" w:rsidRDefault="00201D64" w:rsidP="00201D64">
      <w:pPr>
        <w:spacing w:after="0" w:line="240" w:lineRule="auto"/>
        <w:ind w:firstLine="709"/>
        <w:jc w:val="both"/>
        <w:rPr>
          <w:rFonts w:ascii="Times New Roman" w:eastAsia="Times New Roman" w:hAnsi="Times New Roman" w:cs="Times New Roman"/>
          <w:color w:val="242424"/>
          <w:sz w:val="24"/>
          <w:szCs w:val="24"/>
          <w:lang w:eastAsia="ru-RU"/>
        </w:rPr>
      </w:pPr>
      <w:r w:rsidRPr="00201D64">
        <w:rPr>
          <w:rFonts w:ascii="Arial" w:eastAsia="Times New Roman" w:hAnsi="Arial" w:cs="Arial"/>
          <w:color w:val="242424"/>
          <w:sz w:val="20"/>
          <w:szCs w:val="20"/>
          <w:lang w:eastAsia="ru-RU"/>
        </w:rPr>
        <w:t>Указанный срок начинает исчисляться со дня, следующего за днем совершения административного правонарушения, поскольку административное правонарушение, предусмотренное статьей 19.29 КоАП РФ, не является длящимся, в том числе в случае, когда его объективная сторона выразилась в несообщении в установленный законом срок представителю нанимателя (работодателю) бывшего государственного (муниципального) служащего по последнему месту его службы о заключении с последним трудового (гражданско-правового) договора.</w:t>
      </w:r>
    </w:p>
    <w:p w:rsidR="00201D64" w:rsidRPr="00201D64" w:rsidRDefault="00201D64" w:rsidP="00201D64">
      <w:pPr>
        <w:spacing w:after="0" w:line="240" w:lineRule="auto"/>
        <w:ind w:firstLine="709"/>
        <w:jc w:val="both"/>
        <w:rPr>
          <w:rFonts w:ascii="Times New Roman" w:eastAsia="Times New Roman" w:hAnsi="Times New Roman" w:cs="Times New Roman"/>
          <w:color w:val="242424"/>
          <w:sz w:val="24"/>
          <w:szCs w:val="24"/>
          <w:lang w:eastAsia="ru-RU"/>
        </w:rPr>
      </w:pPr>
      <w:r w:rsidRPr="00201D64">
        <w:rPr>
          <w:rFonts w:ascii="Arial" w:eastAsia="Times New Roman" w:hAnsi="Arial" w:cs="Arial"/>
          <w:color w:val="242424"/>
          <w:sz w:val="20"/>
          <w:szCs w:val="20"/>
          <w:lang w:eastAsia="ru-RU"/>
        </w:rPr>
        <w:t>16. В силу части 4 статьи 4.1 КоАП РФ назначение виновному лицу административного наказания за совершение административного правонарушения, предусмотренного статьей 19.29 КоАП РФ, не освобождает данное лицо от исполнения требований, предусмотренных Федеральным законом "О противодействии коррупции".</w:t>
      </w:r>
    </w:p>
    <w:p w:rsidR="00201D64" w:rsidRPr="00201D64" w:rsidRDefault="00201D64" w:rsidP="00201D64">
      <w:pPr>
        <w:spacing w:after="0" w:line="240" w:lineRule="auto"/>
        <w:ind w:firstLine="709"/>
        <w:jc w:val="both"/>
        <w:rPr>
          <w:rFonts w:ascii="Times New Roman" w:eastAsia="Times New Roman" w:hAnsi="Times New Roman" w:cs="Times New Roman"/>
          <w:color w:val="242424"/>
          <w:sz w:val="24"/>
          <w:szCs w:val="24"/>
          <w:lang w:eastAsia="ru-RU"/>
        </w:rPr>
      </w:pPr>
      <w:r w:rsidRPr="00201D64">
        <w:rPr>
          <w:rFonts w:ascii="Arial" w:eastAsia="Times New Roman" w:hAnsi="Arial" w:cs="Arial"/>
          <w:color w:val="242424"/>
          <w:sz w:val="20"/>
          <w:szCs w:val="20"/>
          <w:lang w:eastAsia="ru-RU"/>
        </w:rPr>
        <w:t xml:space="preserve">При рассмотрении дела об административном правонарушении, предусмотренном статьей 19.29 КоАП РФ, судьям следует принимать во внимание положения статьи 29.13 КоАП РФ о внесении в соответствующие организации и соответствующим должностным лицам, не </w:t>
      </w:r>
      <w:r w:rsidRPr="00201D64">
        <w:rPr>
          <w:rFonts w:ascii="Arial" w:eastAsia="Times New Roman" w:hAnsi="Arial" w:cs="Arial"/>
          <w:color w:val="242424"/>
          <w:sz w:val="20"/>
          <w:szCs w:val="20"/>
          <w:lang w:eastAsia="ru-RU"/>
        </w:rPr>
        <w:lastRenderedPageBreak/>
        <w:t>исполнившим предусмотренную статьей 12 Федерального закона "О противодействии коррупции" обязанность, представления о принятии мер по устранению причин и условий, способствующих совершению административного правонарушения.</w:t>
      </w:r>
    </w:p>
    <w:p w:rsidR="00201D64" w:rsidRPr="00201D64" w:rsidRDefault="00201D64" w:rsidP="00201D64">
      <w:pPr>
        <w:spacing w:after="0" w:line="240" w:lineRule="auto"/>
        <w:jc w:val="both"/>
        <w:rPr>
          <w:rFonts w:ascii="Times New Roman" w:eastAsia="Times New Roman" w:hAnsi="Times New Roman" w:cs="Times New Roman"/>
          <w:color w:val="242424"/>
          <w:sz w:val="24"/>
          <w:szCs w:val="24"/>
          <w:lang w:eastAsia="ru-RU"/>
        </w:rPr>
      </w:pPr>
      <w:r w:rsidRPr="00201D64">
        <w:rPr>
          <w:rFonts w:ascii="Arial" w:eastAsia="Times New Roman" w:hAnsi="Arial" w:cs="Arial"/>
          <w:color w:val="242424"/>
          <w:sz w:val="20"/>
          <w:szCs w:val="20"/>
          <w:lang w:eastAsia="ru-RU"/>
        </w:rPr>
        <w:t> </w:t>
      </w:r>
    </w:p>
    <w:p w:rsidR="00201D64" w:rsidRPr="00201D64" w:rsidRDefault="00201D64" w:rsidP="00201D64">
      <w:pPr>
        <w:spacing w:after="0" w:line="240" w:lineRule="auto"/>
        <w:jc w:val="both"/>
        <w:rPr>
          <w:rFonts w:ascii="Times New Roman" w:eastAsia="Times New Roman" w:hAnsi="Times New Roman" w:cs="Times New Roman"/>
          <w:color w:val="242424"/>
          <w:sz w:val="24"/>
          <w:szCs w:val="24"/>
          <w:lang w:eastAsia="ru-RU"/>
        </w:rPr>
      </w:pPr>
      <w:r w:rsidRPr="00201D64">
        <w:rPr>
          <w:rFonts w:ascii="Arial" w:eastAsia="Times New Roman" w:hAnsi="Arial" w:cs="Arial"/>
          <w:color w:val="242424"/>
          <w:sz w:val="20"/>
          <w:szCs w:val="20"/>
          <w:lang w:eastAsia="ru-RU"/>
        </w:rPr>
        <w:t>Председатель</w:t>
      </w:r>
    </w:p>
    <w:p w:rsidR="00201D64" w:rsidRPr="00201D64" w:rsidRDefault="00201D64" w:rsidP="00201D64">
      <w:pPr>
        <w:spacing w:after="0" w:line="240" w:lineRule="auto"/>
        <w:jc w:val="both"/>
        <w:rPr>
          <w:rFonts w:ascii="Times New Roman" w:eastAsia="Times New Roman" w:hAnsi="Times New Roman" w:cs="Times New Roman"/>
          <w:color w:val="242424"/>
          <w:sz w:val="24"/>
          <w:szCs w:val="24"/>
          <w:lang w:eastAsia="ru-RU"/>
        </w:rPr>
      </w:pPr>
      <w:r w:rsidRPr="00201D64">
        <w:rPr>
          <w:rFonts w:ascii="Arial" w:eastAsia="Times New Roman" w:hAnsi="Arial" w:cs="Arial"/>
          <w:color w:val="242424"/>
          <w:sz w:val="20"/>
          <w:szCs w:val="20"/>
          <w:lang w:eastAsia="ru-RU"/>
        </w:rPr>
        <w:t>Верховного Суда</w:t>
      </w:r>
    </w:p>
    <w:p w:rsidR="00201D64" w:rsidRPr="00201D64" w:rsidRDefault="00201D64" w:rsidP="00201D64">
      <w:pPr>
        <w:spacing w:after="0" w:line="240" w:lineRule="auto"/>
        <w:jc w:val="both"/>
        <w:rPr>
          <w:rFonts w:ascii="Times New Roman" w:eastAsia="Times New Roman" w:hAnsi="Times New Roman" w:cs="Times New Roman"/>
          <w:color w:val="242424"/>
          <w:sz w:val="24"/>
          <w:szCs w:val="24"/>
          <w:lang w:eastAsia="ru-RU"/>
        </w:rPr>
      </w:pPr>
      <w:r w:rsidRPr="00201D64">
        <w:rPr>
          <w:rFonts w:ascii="Arial" w:eastAsia="Times New Roman" w:hAnsi="Arial" w:cs="Arial"/>
          <w:color w:val="242424"/>
          <w:sz w:val="20"/>
          <w:szCs w:val="20"/>
          <w:lang w:eastAsia="ru-RU"/>
        </w:rPr>
        <w:t>Российской Федерации</w:t>
      </w:r>
    </w:p>
    <w:p w:rsidR="00201D64" w:rsidRPr="00201D64" w:rsidRDefault="00201D64" w:rsidP="00201D64">
      <w:pPr>
        <w:spacing w:after="0" w:line="240" w:lineRule="auto"/>
        <w:jc w:val="both"/>
        <w:rPr>
          <w:rFonts w:ascii="Times New Roman" w:eastAsia="Times New Roman" w:hAnsi="Times New Roman" w:cs="Times New Roman"/>
          <w:color w:val="242424"/>
          <w:sz w:val="24"/>
          <w:szCs w:val="24"/>
          <w:lang w:eastAsia="ru-RU"/>
        </w:rPr>
      </w:pPr>
      <w:r w:rsidRPr="00201D64">
        <w:rPr>
          <w:rFonts w:ascii="Arial" w:eastAsia="Times New Roman" w:hAnsi="Arial" w:cs="Arial"/>
          <w:color w:val="242424"/>
          <w:sz w:val="20"/>
          <w:szCs w:val="20"/>
          <w:lang w:eastAsia="ru-RU"/>
        </w:rPr>
        <w:t>В.М.ЛЕБЕДЕВ</w:t>
      </w:r>
    </w:p>
    <w:p w:rsidR="00201D64" w:rsidRPr="00201D64" w:rsidRDefault="00201D64" w:rsidP="00201D64">
      <w:pPr>
        <w:spacing w:after="0" w:line="240" w:lineRule="auto"/>
        <w:jc w:val="both"/>
        <w:rPr>
          <w:rFonts w:ascii="Times New Roman" w:eastAsia="Times New Roman" w:hAnsi="Times New Roman" w:cs="Times New Roman"/>
          <w:color w:val="242424"/>
          <w:sz w:val="24"/>
          <w:szCs w:val="24"/>
          <w:lang w:eastAsia="ru-RU"/>
        </w:rPr>
      </w:pPr>
      <w:r w:rsidRPr="00201D64">
        <w:rPr>
          <w:rFonts w:ascii="Arial" w:eastAsia="Times New Roman" w:hAnsi="Arial" w:cs="Arial"/>
          <w:color w:val="242424"/>
          <w:sz w:val="20"/>
          <w:szCs w:val="20"/>
          <w:lang w:eastAsia="ru-RU"/>
        </w:rPr>
        <w:t> </w:t>
      </w:r>
    </w:p>
    <w:p w:rsidR="00201D64" w:rsidRPr="00201D64" w:rsidRDefault="00201D64" w:rsidP="00201D64">
      <w:pPr>
        <w:spacing w:after="0" w:line="240" w:lineRule="auto"/>
        <w:jc w:val="both"/>
        <w:rPr>
          <w:rFonts w:ascii="Times New Roman" w:eastAsia="Times New Roman" w:hAnsi="Times New Roman" w:cs="Times New Roman"/>
          <w:color w:val="242424"/>
          <w:sz w:val="24"/>
          <w:szCs w:val="24"/>
          <w:lang w:eastAsia="ru-RU"/>
        </w:rPr>
      </w:pPr>
      <w:r w:rsidRPr="00201D64">
        <w:rPr>
          <w:rFonts w:ascii="Arial" w:eastAsia="Times New Roman" w:hAnsi="Arial" w:cs="Arial"/>
          <w:color w:val="242424"/>
          <w:sz w:val="20"/>
          <w:szCs w:val="20"/>
          <w:lang w:eastAsia="ru-RU"/>
        </w:rPr>
        <w:t>Секретарь Пленума,</w:t>
      </w:r>
    </w:p>
    <w:p w:rsidR="00201D64" w:rsidRPr="00201D64" w:rsidRDefault="00201D64" w:rsidP="00201D64">
      <w:pPr>
        <w:spacing w:after="0" w:line="240" w:lineRule="auto"/>
        <w:jc w:val="both"/>
        <w:rPr>
          <w:rFonts w:ascii="Times New Roman" w:eastAsia="Times New Roman" w:hAnsi="Times New Roman" w:cs="Times New Roman"/>
          <w:color w:val="242424"/>
          <w:sz w:val="24"/>
          <w:szCs w:val="24"/>
          <w:lang w:eastAsia="ru-RU"/>
        </w:rPr>
      </w:pPr>
      <w:r w:rsidRPr="00201D64">
        <w:rPr>
          <w:rFonts w:ascii="Arial" w:eastAsia="Times New Roman" w:hAnsi="Arial" w:cs="Arial"/>
          <w:color w:val="242424"/>
          <w:sz w:val="20"/>
          <w:szCs w:val="20"/>
          <w:lang w:eastAsia="ru-RU"/>
        </w:rPr>
        <w:t>судья Верховного Суда</w:t>
      </w:r>
    </w:p>
    <w:p w:rsidR="00201D64" w:rsidRPr="00201D64" w:rsidRDefault="00201D64" w:rsidP="00201D64">
      <w:pPr>
        <w:spacing w:after="0" w:line="240" w:lineRule="auto"/>
        <w:jc w:val="both"/>
        <w:rPr>
          <w:rFonts w:ascii="Times New Roman" w:eastAsia="Times New Roman" w:hAnsi="Times New Roman" w:cs="Times New Roman"/>
          <w:color w:val="242424"/>
          <w:sz w:val="24"/>
          <w:szCs w:val="24"/>
          <w:lang w:eastAsia="ru-RU"/>
        </w:rPr>
      </w:pPr>
      <w:r w:rsidRPr="00201D64">
        <w:rPr>
          <w:rFonts w:ascii="Arial" w:eastAsia="Times New Roman" w:hAnsi="Arial" w:cs="Arial"/>
          <w:color w:val="242424"/>
          <w:sz w:val="20"/>
          <w:szCs w:val="20"/>
          <w:lang w:eastAsia="ru-RU"/>
        </w:rPr>
        <w:t>Российской Федерации</w:t>
      </w:r>
    </w:p>
    <w:p w:rsidR="00201D64" w:rsidRPr="00201D64" w:rsidRDefault="00201D64" w:rsidP="00201D64">
      <w:pPr>
        <w:spacing w:after="0" w:line="240" w:lineRule="auto"/>
        <w:jc w:val="both"/>
        <w:rPr>
          <w:rFonts w:ascii="Times New Roman" w:eastAsia="Times New Roman" w:hAnsi="Times New Roman" w:cs="Times New Roman"/>
          <w:color w:val="242424"/>
          <w:sz w:val="24"/>
          <w:szCs w:val="24"/>
          <w:lang w:eastAsia="ru-RU"/>
        </w:rPr>
      </w:pPr>
      <w:r w:rsidRPr="00201D64">
        <w:rPr>
          <w:rFonts w:ascii="Arial" w:eastAsia="Times New Roman" w:hAnsi="Arial" w:cs="Arial"/>
          <w:color w:val="242424"/>
          <w:sz w:val="20"/>
          <w:szCs w:val="20"/>
          <w:lang w:eastAsia="ru-RU"/>
        </w:rPr>
        <w:t>В.В.МОМОТОВ</w:t>
      </w:r>
    </w:p>
    <w:p w:rsidR="0008689B" w:rsidRDefault="0008689B"/>
    <w:sectPr w:rsidR="0008689B" w:rsidSect="0008689B">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20002A87" w:usb1="80000000" w:usb2="00000008" w:usb3="00000000" w:csb0="000001FF" w:csb1="00000000"/>
  </w:font>
  <w:font w:name="Arial">
    <w:panose1 w:val="020B0604020202020204"/>
    <w:charset w:val="CC"/>
    <w:family w:val="swiss"/>
    <w:pitch w:val="variable"/>
    <w:sig w:usb0="20002A87" w:usb1="80000000" w:usb2="00000008" w:usb3="00000000" w:csb0="000001FF" w:csb1="00000000"/>
  </w:font>
  <w:font w:name="Cambria">
    <w:panose1 w:val="02040503050406030204"/>
    <w:charset w:val="CC"/>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compat/>
  <w:rsids>
    <w:rsidRoot w:val="00201D64"/>
    <w:rsid w:val="00014356"/>
    <w:rsid w:val="0008689B"/>
    <w:rsid w:val="00097480"/>
    <w:rsid w:val="000F5C3F"/>
    <w:rsid w:val="001101BA"/>
    <w:rsid w:val="00191C11"/>
    <w:rsid w:val="001B4E7D"/>
    <w:rsid w:val="001C4B05"/>
    <w:rsid w:val="001F686B"/>
    <w:rsid w:val="00201D64"/>
    <w:rsid w:val="00216F95"/>
    <w:rsid w:val="00244918"/>
    <w:rsid w:val="00252E64"/>
    <w:rsid w:val="00264454"/>
    <w:rsid w:val="00291E22"/>
    <w:rsid w:val="002D59ED"/>
    <w:rsid w:val="003B75CB"/>
    <w:rsid w:val="00412F10"/>
    <w:rsid w:val="00413592"/>
    <w:rsid w:val="004239F3"/>
    <w:rsid w:val="00481F23"/>
    <w:rsid w:val="00497DDB"/>
    <w:rsid w:val="004B0992"/>
    <w:rsid w:val="004D6844"/>
    <w:rsid w:val="005819CC"/>
    <w:rsid w:val="005D785A"/>
    <w:rsid w:val="00662BE0"/>
    <w:rsid w:val="0067291B"/>
    <w:rsid w:val="00737F17"/>
    <w:rsid w:val="00744C90"/>
    <w:rsid w:val="00792BA5"/>
    <w:rsid w:val="00816407"/>
    <w:rsid w:val="00820BA3"/>
    <w:rsid w:val="008A5CD3"/>
    <w:rsid w:val="008D0972"/>
    <w:rsid w:val="008F73E2"/>
    <w:rsid w:val="0092304A"/>
    <w:rsid w:val="00941656"/>
    <w:rsid w:val="00963C5D"/>
    <w:rsid w:val="0096713B"/>
    <w:rsid w:val="009D5DF8"/>
    <w:rsid w:val="00A17FEE"/>
    <w:rsid w:val="00AB3555"/>
    <w:rsid w:val="00AB74FD"/>
    <w:rsid w:val="00AE2E4C"/>
    <w:rsid w:val="00C12A16"/>
    <w:rsid w:val="00C35509"/>
    <w:rsid w:val="00C72496"/>
    <w:rsid w:val="00CC703F"/>
    <w:rsid w:val="00CE1E20"/>
    <w:rsid w:val="00D06D6E"/>
    <w:rsid w:val="00D13549"/>
    <w:rsid w:val="00D230F6"/>
    <w:rsid w:val="00D52E15"/>
    <w:rsid w:val="00D5352A"/>
    <w:rsid w:val="00DA110B"/>
    <w:rsid w:val="00E7185A"/>
    <w:rsid w:val="00EA148B"/>
    <w:rsid w:val="00EB088D"/>
    <w:rsid w:val="00F11B9D"/>
    <w:rsid w:val="00F60923"/>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8689B"/>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306394605">
      <w:bodyDiv w:val="1"/>
      <w:marLeft w:val="0"/>
      <w:marRight w:val="0"/>
      <w:marTop w:val="0"/>
      <w:marBottom w:val="0"/>
      <w:divBdr>
        <w:top w:val="none" w:sz="0" w:space="0" w:color="auto"/>
        <w:left w:val="none" w:sz="0" w:space="0" w:color="auto"/>
        <w:bottom w:val="none" w:sz="0" w:space="0" w:color="auto"/>
        <w:right w:val="none" w:sz="0" w:space="0" w:color="auto"/>
      </w:divBdr>
      <w:divsChild>
        <w:div w:id="1654022306">
          <w:marLeft w:val="0"/>
          <w:marRight w:val="0"/>
          <w:marTop w:val="0"/>
          <w:marBottom w:val="0"/>
          <w:divBdr>
            <w:top w:val="none" w:sz="0" w:space="0" w:color="auto"/>
            <w:left w:val="none" w:sz="0" w:space="0" w:color="auto"/>
            <w:bottom w:val="none" w:sz="0" w:space="0" w:color="auto"/>
            <w:right w:val="none" w:sz="0" w:space="0" w:color="auto"/>
          </w:divBdr>
          <w:divsChild>
            <w:div w:id="1547989056">
              <w:marLeft w:val="150"/>
              <w:marRight w:val="0"/>
              <w:marTop w:val="0"/>
              <w:marBottom w:val="0"/>
              <w:divBdr>
                <w:top w:val="none" w:sz="0" w:space="0" w:color="auto"/>
                <w:left w:val="none" w:sz="0" w:space="0" w:color="auto"/>
                <w:bottom w:val="none" w:sz="0" w:space="0" w:color="auto"/>
                <w:right w:val="none" w:sz="0" w:space="0" w:color="auto"/>
              </w:divBdr>
              <w:divsChild>
                <w:div w:id="6274739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2893</Words>
  <Characters>16493</Characters>
  <Application>Microsoft Office Word</Application>
  <DocSecurity>0</DocSecurity>
  <Lines>137</Lines>
  <Paragraphs>38</Paragraphs>
  <ScaleCrop>false</ScaleCrop>
  <Company>Роспотребнадзор</Company>
  <LinksUpToDate>false</LinksUpToDate>
  <CharactersWithSpaces>19348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Шуклина</dc:creator>
  <cp:keywords/>
  <dc:description/>
  <cp:lastModifiedBy>Шуклина</cp:lastModifiedBy>
  <cp:revision>1</cp:revision>
  <dcterms:created xsi:type="dcterms:W3CDTF">2018-02-14T09:41:00Z</dcterms:created>
  <dcterms:modified xsi:type="dcterms:W3CDTF">2018-02-14T09:41:00Z</dcterms:modified>
</cp:coreProperties>
</file>